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75" w:rsidRDefault="00842D75" w:rsidP="00775B40">
      <w:pPr>
        <w:rPr>
          <w:b/>
          <w:sz w:val="36"/>
          <w:szCs w:val="36"/>
        </w:rPr>
      </w:pPr>
    </w:p>
    <w:p w:rsidR="00775B40" w:rsidRDefault="00775B40" w:rsidP="00842D75">
      <w:pPr>
        <w:rPr>
          <w:b/>
          <w:sz w:val="36"/>
          <w:szCs w:val="36"/>
        </w:rPr>
      </w:pPr>
    </w:p>
    <w:p w:rsidR="00842D75" w:rsidRDefault="00842D75" w:rsidP="00842D75">
      <w:pPr>
        <w:rPr>
          <w:b/>
          <w:sz w:val="36"/>
          <w:szCs w:val="36"/>
        </w:rPr>
      </w:pPr>
      <w:r>
        <w:rPr>
          <w:b/>
          <w:sz w:val="36"/>
          <w:szCs w:val="36"/>
        </w:rPr>
        <w:t xml:space="preserve">Summary of </w:t>
      </w:r>
      <w:r w:rsidR="007769F4">
        <w:rPr>
          <w:b/>
          <w:sz w:val="36"/>
          <w:szCs w:val="36"/>
        </w:rPr>
        <w:t xml:space="preserve">Quality </w:t>
      </w:r>
      <w:r>
        <w:rPr>
          <w:b/>
          <w:sz w:val="36"/>
          <w:szCs w:val="36"/>
        </w:rPr>
        <w:t>Differences</w:t>
      </w:r>
    </w:p>
    <w:p w:rsidR="00F32E2B" w:rsidRPr="00656EFE" w:rsidRDefault="00F32E2B" w:rsidP="00656EFE">
      <w:pPr>
        <w:rPr>
          <w:rFonts w:ascii="Times New Roman" w:eastAsia="Times New Roman" w:hAnsi="Times New Roman" w:cs="Times New Roman"/>
          <w:b/>
          <w:bCs/>
        </w:rPr>
      </w:pPr>
      <w:r w:rsidRPr="00656EFE">
        <w:rPr>
          <w:sz w:val="28"/>
          <w:szCs w:val="28"/>
        </w:rPr>
        <w:t>This form must be completed and submitted to each Non-EU agency proposed in the EOI Request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8" w:type="dxa"/>
          <w:right w:w="78" w:type="dxa"/>
        </w:tblCellMar>
        <w:tblLook w:val="0000" w:firstRow="0" w:lastRow="0" w:firstColumn="0" w:lastColumn="0" w:noHBand="0" w:noVBand="0"/>
      </w:tblPr>
      <w:tblGrid>
        <w:gridCol w:w="2379"/>
        <w:gridCol w:w="2379"/>
        <w:gridCol w:w="2379"/>
        <w:gridCol w:w="2379"/>
      </w:tblGrid>
      <w:tr w:rsidR="00F32E2B" w:rsidRPr="00F32E2B" w:rsidTr="00F47CEF">
        <w:trPr>
          <w:cantSplit/>
          <w:trHeight w:val="540"/>
          <w:tblHeader/>
          <w:jc w:val="center"/>
        </w:trPr>
        <w:tc>
          <w:tcPr>
            <w:tcW w:w="5000" w:type="pct"/>
            <w:gridSpan w:val="4"/>
            <w:shd w:val="pct15" w:color="auto" w:fill="auto"/>
          </w:tcPr>
          <w:p w:rsidR="00F32E2B" w:rsidRDefault="00F32E2B">
            <w:pPr>
              <w:tabs>
                <w:tab w:val="left" w:pos="1180"/>
              </w:tabs>
              <w:spacing w:before="102" w:after="0" w:line="170" w:lineRule="atLeast"/>
              <w:rPr>
                <w:rFonts w:ascii="Times New Roman" w:eastAsia="Times New Roman" w:hAnsi="Times New Roman" w:cs="Times New Roman"/>
                <w:b/>
                <w:bCs/>
              </w:rPr>
            </w:pPr>
            <w:r w:rsidRPr="00F32E2B">
              <w:rPr>
                <w:rFonts w:ascii="Times New Roman" w:eastAsia="Times New Roman" w:hAnsi="Times New Roman" w:cs="Times New Roman"/>
                <w:b/>
                <w:bCs/>
              </w:rPr>
              <w:t xml:space="preserve">Summary of Quality Differences </w:t>
            </w:r>
          </w:p>
          <w:p w:rsidR="00F32E2B" w:rsidRPr="00656EFE" w:rsidRDefault="00F32E2B">
            <w:pPr>
              <w:tabs>
                <w:tab w:val="left" w:pos="1180"/>
              </w:tabs>
              <w:spacing w:before="102" w:after="0" w:line="170" w:lineRule="atLeast"/>
              <w:rPr>
                <w:rFonts w:ascii="Times New Roman" w:eastAsia="Times New Roman" w:hAnsi="Times New Roman" w:cs="Times New Roman"/>
                <w:bCs/>
                <w:sz w:val="20"/>
                <w:szCs w:val="20"/>
              </w:rPr>
            </w:pPr>
            <w:r w:rsidRPr="00656EFE">
              <w:rPr>
                <w:rFonts w:ascii="Times New Roman" w:eastAsia="Times New Roman" w:hAnsi="Times New Roman" w:cs="Times New Roman"/>
                <w:bCs/>
                <w:sz w:val="20"/>
                <w:szCs w:val="20"/>
              </w:rPr>
              <w:t xml:space="preserve">Modules and numbering </w:t>
            </w:r>
            <w:r w:rsidR="00245ED6">
              <w:rPr>
                <w:rFonts w:ascii="Times New Roman" w:eastAsia="Times New Roman" w:hAnsi="Times New Roman" w:cs="Times New Roman"/>
                <w:bCs/>
                <w:sz w:val="20"/>
                <w:szCs w:val="20"/>
              </w:rPr>
              <w:t>reflect t</w:t>
            </w:r>
            <w:r w:rsidRPr="00656EFE">
              <w:rPr>
                <w:rFonts w:ascii="Times New Roman" w:eastAsia="Times New Roman" w:hAnsi="Times New Roman" w:cs="Times New Roman"/>
                <w:bCs/>
                <w:sz w:val="20"/>
                <w:szCs w:val="20"/>
              </w:rPr>
              <w:t>he ICH Common Technical Document</w:t>
            </w:r>
            <w:r w:rsidR="00245ED6">
              <w:rPr>
                <w:rFonts w:ascii="Times New Roman" w:eastAsia="Times New Roman" w:hAnsi="Times New Roman" w:cs="Times New Roman"/>
                <w:bCs/>
                <w:sz w:val="20"/>
                <w:szCs w:val="20"/>
              </w:rPr>
              <w:t>.</w:t>
            </w:r>
          </w:p>
          <w:p w:rsidR="00F32E2B" w:rsidRPr="00656EFE" w:rsidRDefault="00F32E2B" w:rsidP="00BE1778">
            <w:pPr>
              <w:tabs>
                <w:tab w:val="left" w:pos="1180"/>
              </w:tabs>
              <w:spacing w:before="102" w:after="0" w:line="170" w:lineRule="atLeast"/>
              <w:rPr>
                <w:rFonts w:ascii="Times New Roman" w:eastAsia="Times New Roman" w:hAnsi="Times New Roman" w:cs="Times New Roman"/>
                <w:bCs/>
                <w:sz w:val="20"/>
                <w:szCs w:val="20"/>
              </w:rPr>
            </w:pPr>
            <w:r w:rsidRPr="00656EFE">
              <w:rPr>
                <w:rFonts w:ascii="Times New Roman" w:eastAsia="Times New Roman" w:hAnsi="Times New Roman" w:cs="Times New Roman"/>
                <w:bCs/>
                <w:sz w:val="20"/>
                <w:szCs w:val="20"/>
              </w:rPr>
              <w:t xml:space="preserve">Modules where there are no differences between the </w:t>
            </w:r>
            <w:r w:rsidR="00BE1778">
              <w:rPr>
                <w:rFonts w:ascii="Times New Roman" w:eastAsia="Times New Roman" w:hAnsi="Times New Roman" w:cs="Times New Roman"/>
                <w:bCs/>
                <w:sz w:val="20"/>
                <w:szCs w:val="20"/>
              </w:rPr>
              <w:t>products</w:t>
            </w:r>
            <w:r w:rsidR="00BE1778" w:rsidRPr="00656EFE">
              <w:rPr>
                <w:rFonts w:ascii="Times New Roman" w:eastAsia="Times New Roman" w:hAnsi="Times New Roman" w:cs="Times New Roman"/>
                <w:bCs/>
                <w:sz w:val="20"/>
                <w:szCs w:val="20"/>
              </w:rPr>
              <w:t xml:space="preserve"> </w:t>
            </w:r>
            <w:r w:rsidRPr="00656EFE">
              <w:rPr>
                <w:rFonts w:ascii="Times New Roman" w:eastAsia="Times New Roman" w:hAnsi="Times New Roman" w:cs="Times New Roman"/>
                <w:bCs/>
                <w:sz w:val="20"/>
                <w:szCs w:val="20"/>
              </w:rPr>
              <w:t>filed with the</w:t>
            </w:r>
            <w:r w:rsidR="00245ED6">
              <w:rPr>
                <w:rFonts w:ascii="Times New Roman" w:eastAsia="Times New Roman" w:hAnsi="Times New Roman" w:cs="Times New Roman"/>
                <w:bCs/>
                <w:sz w:val="20"/>
                <w:szCs w:val="20"/>
              </w:rPr>
              <w:t xml:space="preserve"> EU </w:t>
            </w:r>
            <w:r w:rsidR="001D019C">
              <w:rPr>
                <w:rFonts w:ascii="Times New Roman" w:eastAsia="Times New Roman" w:hAnsi="Times New Roman" w:cs="Times New Roman"/>
                <w:bCs/>
                <w:sz w:val="20"/>
                <w:szCs w:val="20"/>
              </w:rPr>
              <w:t>CP/</w:t>
            </w:r>
            <w:r w:rsidR="00BE1778">
              <w:rPr>
                <w:rFonts w:ascii="Times New Roman" w:eastAsia="Times New Roman" w:hAnsi="Times New Roman" w:cs="Times New Roman"/>
                <w:bCs/>
                <w:sz w:val="20"/>
                <w:szCs w:val="20"/>
              </w:rPr>
              <w:t xml:space="preserve">DCP </w:t>
            </w:r>
            <w:r w:rsidR="001D019C">
              <w:rPr>
                <w:rFonts w:ascii="Times New Roman" w:eastAsia="Times New Roman" w:hAnsi="Times New Roman" w:cs="Times New Roman"/>
                <w:bCs/>
                <w:sz w:val="20"/>
                <w:szCs w:val="20"/>
              </w:rPr>
              <w:t xml:space="preserve">(delete as appropriate) </w:t>
            </w:r>
            <w:r w:rsidR="00245ED6">
              <w:rPr>
                <w:rFonts w:ascii="Times New Roman" w:eastAsia="Times New Roman" w:hAnsi="Times New Roman" w:cs="Times New Roman"/>
                <w:bCs/>
                <w:sz w:val="20"/>
                <w:szCs w:val="20"/>
              </w:rPr>
              <w:t xml:space="preserve">and </w:t>
            </w:r>
            <w:r w:rsidR="00BE1778">
              <w:rPr>
                <w:rFonts w:ascii="Times New Roman" w:eastAsia="Times New Roman" w:hAnsi="Times New Roman" w:cs="Times New Roman"/>
                <w:bCs/>
                <w:sz w:val="20"/>
                <w:szCs w:val="20"/>
              </w:rPr>
              <w:t xml:space="preserve">the </w:t>
            </w:r>
            <w:r w:rsidR="00245ED6">
              <w:rPr>
                <w:rFonts w:ascii="Times New Roman" w:eastAsia="Times New Roman" w:hAnsi="Times New Roman" w:cs="Times New Roman"/>
                <w:bCs/>
                <w:sz w:val="20"/>
                <w:szCs w:val="20"/>
              </w:rPr>
              <w:t>non-EU agency</w:t>
            </w:r>
            <w:r w:rsidRPr="00656EFE">
              <w:rPr>
                <w:rFonts w:ascii="Times New Roman" w:eastAsia="Times New Roman" w:hAnsi="Times New Roman" w:cs="Times New Roman"/>
                <w:bCs/>
                <w:sz w:val="20"/>
                <w:szCs w:val="20"/>
              </w:rPr>
              <w:t xml:space="preserve"> should be reported as “No differences”.</w:t>
            </w:r>
            <w:r w:rsidR="002F1A11">
              <w:rPr>
                <w:rFonts w:ascii="Times New Roman" w:eastAsia="Times New Roman" w:hAnsi="Times New Roman" w:cs="Times New Roman"/>
                <w:bCs/>
                <w:sz w:val="20"/>
                <w:szCs w:val="20"/>
              </w:rPr>
              <w:t xml:space="preserve"> Where </w:t>
            </w:r>
            <w:r w:rsidR="005C1076">
              <w:rPr>
                <w:rFonts w:ascii="Times New Roman" w:eastAsia="Times New Roman" w:hAnsi="Times New Roman" w:cs="Times New Roman"/>
                <w:bCs/>
                <w:sz w:val="20"/>
                <w:szCs w:val="20"/>
              </w:rPr>
              <w:t xml:space="preserve">minor </w:t>
            </w:r>
            <w:r w:rsidR="002F1A11">
              <w:rPr>
                <w:rFonts w:ascii="Times New Roman" w:eastAsia="Times New Roman" w:hAnsi="Times New Roman" w:cs="Times New Roman"/>
                <w:bCs/>
                <w:sz w:val="20"/>
                <w:szCs w:val="20"/>
              </w:rPr>
              <w:t>differences exist for a listed module, a brief summary of the details should be described.</w:t>
            </w:r>
          </w:p>
        </w:tc>
      </w:tr>
      <w:tr w:rsidR="00F32E2B" w:rsidRPr="00F32E2B" w:rsidTr="00F47CEF">
        <w:trPr>
          <w:cantSplit/>
          <w:trHeight w:val="540"/>
          <w:tblHeader/>
          <w:jc w:val="center"/>
        </w:trPr>
        <w:tc>
          <w:tcPr>
            <w:tcW w:w="1250" w:type="pct"/>
            <w:shd w:val="pct15" w:color="auto" w:fill="auto"/>
          </w:tcPr>
          <w:p w:rsidR="00F32E2B" w:rsidRPr="00F32E2B" w:rsidRDefault="00F32E2B" w:rsidP="00F32E2B">
            <w:pPr>
              <w:tabs>
                <w:tab w:val="left" w:pos="1180"/>
              </w:tabs>
              <w:spacing w:before="102" w:after="0" w:line="170" w:lineRule="atLeast"/>
              <w:jc w:val="center"/>
              <w:rPr>
                <w:rFonts w:ascii="Times New Roman" w:eastAsia="Times New Roman" w:hAnsi="Times New Roman" w:cs="Times New Roman"/>
                <w:b/>
                <w:sz w:val="18"/>
                <w:szCs w:val="18"/>
              </w:rPr>
            </w:pPr>
            <w:r w:rsidRPr="00F32E2B">
              <w:rPr>
                <w:rFonts w:ascii="Times New Roman" w:eastAsia="Times New Roman" w:hAnsi="Times New Roman" w:cs="Times New Roman"/>
                <w:b/>
                <w:sz w:val="18"/>
                <w:szCs w:val="18"/>
              </w:rPr>
              <w:t>Module</w:t>
            </w:r>
          </w:p>
        </w:tc>
        <w:tc>
          <w:tcPr>
            <w:tcW w:w="1250" w:type="pct"/>
            <w:shd w:val="pct15" w:color="auto" w:fill="auto"/>
          </w:tcPr>
          <w:p w:rsidR="00F32E2B" w:rsidRPr="00F32E2B" w:rsidRDefault="00F32E2B" w:rsidP="002F1A11">
            <w:pPr>
              <w:tabs>
                <w:tab w:val="left" w:pos="1180"/>
              </w:tabs>
              <w:spacing w:before="102" w:after="0" w:line="170" w:lineRule="atLeast"/>
              <w:jc w:val="center"/>
              <w:rPr>
                <w:rFonts w:ascii="Times New Roman" w:eastAsia="Times New Roman" w:hAnsi="Times New Roman" w:cs="Times New Roman"/>
                <w:b/>
                <w:sz w:val="18"/>
                <w:szCs w:val="18"/>
              </w:rPr>
            </w:pPr>
            <w:r w:rsidRPr="00F32E2B">
              <w:rPr>
                <w:rFonts w:ascii="Times New Roman" w:eastAsia="Times New Roman" w:hAnsi="Times New Roman" w:cs="Times New Roman"/>
                <w:b/>
                <w:sz w:val="18"/>
                <w:szCs w:val="18"/>
              </w:rPr>
              <w:t xml:space="preserve">Details in </w:t>
            </w:r>
            <w:r w:rsidR="00245ED6">
              <w:rPr>
                <w:rFonts w:ascii="Times New Roman" w:eastAsia="Times New Roman" w:hAnsi="Times New Roman" w:cs="Times New Roman"/>
                <w:b/>
                <w:sz w:val="18"/>
                <w:szCs w:val="18"/>
              </w:rPr>
              <w:t>a</w:t>
            </w:r>
            <w:r w:rsidRPr="00F32E2B">
              <w:rPr>
                <w:rFonts w:ascii="Times New Roman" w:eastAsia="Times New Roman" w:hAnsi="Times New Roman" w:cs="Times New Roman"/>
                <w:b/>
                <w:sz w:val="18"/>
                <w:szCs w:val="18"/>
              </w:rPr>
              <w:t xml:space="preserve">pplication </w:t>
            </w:r>
            <w:r w:rsidR="00245ED6">
              <w:rPr>
                <w:rFonts w:ascii="Times New Roman" w:eastAsia="Times New Roman" w:hAnsi="Times New Roman" w:cs="Times New Roman"/>
                <w:b/>
                <w:sz w:val="18"/>
                <w:szCs w:val="18"/>
              </w:rPr>
              <w:t xml:space="preserve">to be </w:t>
            </w:r>
            <w:r w:rsidRPr="00F32E2B">
              <w:rPr>
                <w:rFonts w:ascii="Times New Roman" w:eastAsia="Times New Roman" w:hAnsi="Times New Roman" w:cs="Times New Roman"/>
                <w:b/>
                <w:sz w:val="18"/>
                <w:szCs w:val="18"/>
              </w:rPr>
              <w:t>filed</w:t>
            </w:r>
            <w:r w:rsidR="00245ED6">
              <w:rPr>
                <w:rFonts w:ascii="Times New Roman" w:eastAsia="Times New Roman" w:hAnsi="Times New Roman" w:cs="Times New Roman"/>
                <w:b/>
                <w:sz w:val="18"/>
                <w:szCs w:val="18"/>
              </w:rPr>
              <w:t xml:space="preserve"> </w:t>
            </w:r>
            <w:r w:rsidRPr="00F32E2B">
              <w:rPr>
                <w:rFonts w:ascii="Times New Roman" w:eastAsia="Times New Roman" w:hAnsi="Times New Roman" w:cs="Times New Roman"/>
                <w:b/>
                <w:sz w:val="18"/>
                <w:szCs w:val="18"/>
              </w:rPr>
              <w:t xml:space="preserve">with </w:t>
            </w:r>
            <w:r w:rsidR="00245ED6">
              <w:rPr>
                <w:rFonts w:ascii="Times New Roman" w:eastAsia="Times New Roman" w:hAnsi="Times New Roman" w:cs="Times New Roman"/>
                <w:b/>
                <w:sz w:val="18"/>
                <w:szCs w:val="18"/>
              </w:rPr>
              <w:t xml:space="preserve">the EU </w:t>
            </w:r>
            <w:r w:rsidR="001D019C">
              <w:rPr>
                <w:rFonts w:ascii="Times New Roman" w:eastAsia="Times New Roman" w:hAnsi="Times New Roman" w:cs="Times New Roman"/>
                <w:b/>
                <w:sz w:val="18"/>
                <w:szCs w:val="18"/>
              </w:rPr>
              <w:t>CP/</w:t>
            </w:r>
            <w:r w:rsidR="002F1A11">
              <w:rPr>
                <w:rFonts w:ascii="Times New Roman" w:eastAsia="Times New Roman" w:hAnsi="Times New Roman" w:cs="Times New Roman"/>
                <w:b/>
                <w:sz w:val="18"/>
                <w:szCs w:val="18"/>
              </w:rPr>
              <w:t>DCP</w:t>
            </w:r>
            <w:r w:rsidR="001D019C">
              <w:rPr>
                <w:rFonts w:ascii="Times New Roman" w:eastAsia="Times New Roman" w:hAnsi="Times New Roman" w:cs="Times New Roman"/>
                <w:b/>
                <w:sz w:val="18"/>
                <w:szCs w:val="18"/>
              </w:rPr>
              <w:t xml:space="preserve"> (delete as appropriate)</w:t>
            </w:r>
          </w:p>
        </w:tc>
        <w:tc>
          <w:tcPr>
            <w:tcW w:w="1250" w:type="pct"/>
            <w:shd w:val="pct15" w:color="auto" w:fill="auto"/>
          </w:tcPr>
          <w:p w:rsidR="00F32E2B" w:rsidRPr="00F32E2B" w:rsidRDefault="00F32E2B">
            <w:pPr>
              <w:tabs>
                <w:tab w:val="left" w:pos="1180"/>
              </w:tabs>
              <w:spacing w:before="102" w:after="0" w:line="170" w:lineRule="atLeast"/>
              <w:jc w:val="center"/>
              <w:rPr>
                <w:rFonts w:ascii="Times New Roman" w:eastAsia="Times New Roman" w:hAnsi="Times New Roman" w:cs="Times New Roman"/>
                <w:b/>
                <w:sz w:val="18"/>
                <w:szCs w:val="18"/>
              </w:rPr>
            </w:pPr>
            <w:r w:rsidRPr="00F32E2B">
              <w:rPr>
                <w:rFonts w:ascii="Times New Roman" w:eastAsia="Times New Roman" w:hAnsi="Times New Roman" w:cs="Times New Roman"/>
                <w:b/>
                <w:sz w:val="18"/>
                <w:szCs w:val="18"/>
              </w:rPr>
              <w:t xml:space="preserve">Details in </w:t>
            </w:r>
            <w:r w:rsidR="00245ED6">
              <w:rPr>
                <w:rFonts w:ascii="Times New Roman" w:eastAsia="Times New Roman" w:hAnsi="Times New Roman" w:cs="Times New Roman"/>
                <w:b/>
                <w:sz w:val="18"/>
                <w:szCs w:val="18"/>
              </w:rPr>
              <w:t>a</w:t>
            </w:r>
            <w:r w:rsidRPr="00F32E2B">
              <w:rPr>
                <w:rFonts w:ascii="Times New Roman" w:eastAsia="Times New Roman" w:hAnsi="Times New Roman" w:cs="Times New Roman"/>
                <w:b/>
                <w:sz w:val="18"/>
                <w:szCs w:val="18"/>
              </w:rPr>
              <w:t xml:space="preserve">pplication </w:t>
            </w:r>
            <w:r w:rsidR="00245ED6">
              <w:rPr>
                <w:rFonts w:ascii="Times New Roman" w:eastAsia="Times New Roman" w:hAnsi="Times New Roman" w:cs="Times New Roman"/>
                <w:b/>
                <w:sz w:val="18"/>
                <w:szCs w:val="18"/>
              </w:rPr>
              <w:t xml:space="preserve">to be </w:t>
            </w:r>
            <w:r w:rsidRPr="00F32E2B">
              <w:rPr>
                <w:rFonts w:ascii="Times New Roman" w:eastAsia="Times New Roman" w:hAnsi="Times New Roman" w:cs="Times New Roman"/>
                <w:b/>
                <w:sz w:val="18"/>
                <w:szCs w:val="18"/>
              </w:rPr>
              <w:t xml:space="preserve">filed with </w:t>
            </w:r>
            <w:r w:rsidR="00245ED6">
              <w:rPr>
                <w:rFonts w:ascii="Times New Roman" w:eastAsia="Times New Roman" w:hAnsi="Times New Roman" w:cs="Times New Roman"/>
                <w:b/>
                <w:sz w:val="18"/>
                <w:szCs w:val="18"/>
              </w:rPr>
              <w:t>the non-EU agency</w:t>
            </w:r>
          </w:p>
        </w:tc>
        <w:tc>
          <w:tcPr>
            <w:tcW w:w="1250" w:type="pct"/>
            <w:shd w:val="pct15" w:color="auto" w:fill="auto"/>
          </w:tcPr>
          <w:p w:rsidR="00F32E2B" w:rsidRPr="00F32E2B" w:rsidRDefault="00F32E2B">
            <w:pPr>
              <w:tabs>
                <w:tab w:val="left" w:pos="1180"/>
              </w:tabs>
              <w:spacing w:before="102" w:after="0" w:line="170" w:lineRule="atLeast"/>
              <w:jc w:val="center"/>
              <w:rPr>
                <w:rFonts w:ascii="Times New Roman" w:eastAsia="Times New Roman" w:hAnsi="Times New Roman" w:cs="Times New Roman"/>
                <w:b/>
                <w:sz w:val="18"/>
                <w:szCs w:val="18"/>
              </w:rPr>
            </w:pPr>
            <w:r w:rsidRPr="00F32E2B">
              <w:rPr>
                <w:rFonts w:ascii="Times New Roman" w:eastAsia="Times New Roman" w:hAnsi="Times New Roman" w:cs="Times New Roman"/>
                <w:b/>
                <w:sz w:val="18"/>
                <w:szCs w:val="18"/>
              </w:rPr>
              <w:t xml:space="preserve">Discussion of </w:t>
            </w:r>
            <w:r w:rsidR="00245ED6">
              <w:rPr>
                <w:rFonts w:ascii="Times New Roman" w:eastAsia="Times New Roman" w:hAnsi="Times New Roman" w:cs="Times New Roman"/>
                <w:b/>
                <w:sz w:val="18"/>
                <w:szCs w:val="18"/>
              </w:rPr>
              <w:t>n</w:t>
            </w:r>
            <w:r w:rsidRPr="00F32E2B">
              <w:rPr>
                <w:rFonts w:ascii="Times New Roman" w:eastAsia="Times New Roman" w:hAnsi="Times New Roman" w:cs="Times New Roman"/>
                <w:b/>
                <w:sz w:val="18"/>
                <w:szCs w:val="18"/>
              </w:rPr>
              <w:t xml:space="preserve">oted </w:t>
            </w:r>
            <w:r w:rsidR="00245ED6">
              <w:rPr>
                <w:rFonts w:ascii="Times New Roman" w:eastAsia="Times New Roman" w:hAnsi="Times New Roman" w:cs="Times New Roman"/>
                <w:b/>
                <w:sz w:val="18"/>
                <w:szCs w:val="18"/>
              </w:rPr>
              <w:t>d</w:t>
            </w:r>
            <w:r w:rsidRPr="00F32E2B">
              <w:rPr>
                <w:rFonts w:ascii="Times New Roman" w:eastAsia="Times New Roman" w:hAnsi="Times New Roman" w:cs="Times New Roman"/>
                <w:b/>
                <w:sz w:val="18"/>
                <w:szCs w:val="18"/>
              </w:rPr>
              <w:t>ifferences</w:t>
            </w:r>
          </w:p>
        </w:tc>
      </w:tr>
      <w:tr w:rsidR="00F32E2B" w:rsidRPr="00F32E2B" w:rsidTr="00F47CEF">
        <w:trPr>
          <w:cantSplit/>
          <w:trHeight w:val="540"/>
          <w:jc w:val="center"/>
        </w:trPr>
        <w:tc>
          <w:tcPr>
            <w:tcW w:w="5000" w:type="pct"/>
            <w:gridSpan w:val="4"/>
          </w:tcPr>
          <w:p w:rsidR="00F32E2B" w:rsidRPr="00F32E2B" w:rsidRDefault="00F32E2B" w:rsidP="00F32E2B">
            <w:pPr>
              <w:tabs>
                <w:tab w:val="left" w:pos="1180"/>
              </w:tabs>
              <w:spacing w:before="102" w:after="0" w:line="170" w:lineRule="atLeast"/>
              <w:rPr>
                <w:rFonts w:ascii="Times New Roman" w:eastAsia="Times New Roman" w:hAnsi="Times New Roman" w:cs="Times New Roman"/>
                <w:b/>
                <w:sz w:val="18"/>
                <w:szCs w:val="18"/>
              </w:rPr>
            </w:pPr>
            <w:r w:rsidRPr="00F32E2B">
              <w:rPr>
                <w:rFonts w:ascii="Times New Roman" w:eastAsia="Times New Roman" w:hAnsi="Times New Roman" w:cs="Times New Roman"/>
                <w:b/>
                <w:i/>
                <w:sz w:val="18"/>
                <w:szCs w:val="18"/>
              </w:rPr>
              <w:t>3.2.S Drug Substance</w:t>
            </w: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 xml:space="preserve">3.2.S.1 General Information </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 xml:space="preserve">3.2.S.2 Manufacture </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3.2.S.3 Characterisation</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 xml:space="preserve">3.2.S.4 Control of the Drug Substance </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3.2.S.5 Reference Standard or Materials</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 xml:space="preserve">3.2.S.6 Container Closure System </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3.2.S.7 Stability</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5000" w:type="pct"/>
            <w:gridSpan w:val="4"/>
          </w:tcPr>
          <w:p w:rsidR="00F32E2B" w:rsidRPr="00F32E2B" w:rsidRDefault="00F32E2B" w:rsidP="00F32E2B">
            <w:pPr>
              <w:tabs>
                <w:tab w:val="left" w:pos="1180"/>
              </w:tabs>
              <w:spacing w:before="102" w:after="0" w:line="170" w:lineRule="atLeast"/>
              <w:rPr>
                <w:rFonts w:ascii="Times New Roman" w:eastAsia="Times New Roman" w:hAnsi="Times New Roman" w:cs="Times New Roman"/>
                <w:b/>
                <w:sz w:val="18"/>
                <w:szCs w:val="18"/>
              </w:rPr>
            </w:pPr>
            <w:r w:rsidRPr="00F32E2B">
              <w:rPr>
                <w:rFonts w:ascii="Times New Roman" w:eastAsia="Times New Roman" w:hAnsi="Times New Roman" w:cs="Times New Roman"/>
                <w:b/>
                <w:i/>
                <w:sz w:val="18"/>
                <w:szCs w:val="18"/>
              </w:rPr>
              <w:t>3.2.P Drug Product</w:t>
            </w: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 xml:space="preserve">3.2.P.1 Description and Composition of the Drug Product </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 xml:space="preserve">3.2.P.2 Pharmaceutical Development </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 xml:space="preserve">3.2.P.3 Manufacture </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3.2.P.4 Control of Excipients</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lastRenderedPageBreak/>
              <w:t xml:space="preserve">3.2.P.5 Control of Drug Product </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3.2.P.6 Reference Standard or Materials</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 xml:space="preserve">3.2.P.7 Container Closure System </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r w:rsidR="00F32E2B" w:rsidRPr="00F32E2B" w:rsidTr="00F47CEF">
        <w:trPr>
          <w:cantSplit/>
          <w:trHeight w:val="540"/>
          <w:jc w:val="center"/>
        </w:trPr>
        <w:tc>
          <w:tcPr>
            <w:tcW w:w="1250" w:type="pct"/>
          </w:tcPr>
          <w:p w:rsidR="00F32E2B" w:rsidRPr="00F32E2B" w:rsidRDefault="00F32E2B" w:rsidP="00F32E2B">
            <w:pPr>
              <w:spacing w:after="0" w:line="240" w:lineRule="auto"/>
              <w:rPr>
                <w:rFonts w:ascii="Times New Roman" w:eastAsia="Times New Roman" w:hAnsi="Times New Roman" w:cs="Times New Roman"/>
                <w:sz w:val="18"/>
                <w:szCs w:val="18"/>
              </w:rPr>
            </w:pPr>
            <w:r w:rsidRPr="00F32E2B">
              <w:rPr>
                <w:rFonts w:ascii="Times New Roman" w:eastAsia="Times New Roman" w:hAnsi="Times New Roman" w:cs="Times New Roman"/>
                <w:sz w:val="18"/>
                <w:szCs w:val="18"/>
              </w:rPr>
              <w:t xml:space="preserve">3.2.P.8 Stability </w:t>
            </w: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c>
          <w:tcPr>
            <w:tcW w:w="1250" w:type="pct"/>
          </w:tcPr>
          <w:p w:rsidR="00F32E2B" w:rsidRPr="00F32E2B" w:rsidRDefault="00F32E2B" w:rsidP="00F32E2B">
            <w:pPr>
              <w:tabs>
                <w:tab w:val="left" w:pos="1180"/>
              </w:tabs>
              <w:spacing w:before="102" w:after="0" w:line="170" w:lineRule="atLeast"/>
              <w:rPr>
                <w:rFonts w:ascii="Times New Roman" w:eastAsia="Times New Roman" w:hAnsi="Times New Roman" w:cs="Times New Roman"/>
                <w:sz w:val="18"/>
                <w:szCs w:val="18"/>
              </w:rPr>
            </w:pPr>
          </w:p>
        </w:tc>
      </w:tr>
    </w:tbl>
    <w:p w:rsidR="004076C9" w:rsidRDefault="004076C9" w:rsidP="00842D75">
      <w:pPr>
        <w:jc w:val="center"/>
        <w:rPr>
          <w:sz w:val="24"/>
          <w:szCs w:val="24"/>
        </w:rPr>
      </w:pPr>
    </w:p>
    <w:p w:rsidR="004076C9" w:rsidRDefault="004076C9" w:rsidP="00842D75">
      <w:pPr>
        <w:jc w:val="center"/>
        <w:rPr>
          <w:sz w:val="24"/>
          <w:szCs w:val="24"/>
        </w:rPr>
      </w:pPr>
    </w:p>
    <w:p w:rsidR="00DE1D86" w:rsidRDefault="00DE1D86" w:rsidP="00842D75">
      <w:pPr>
        <w:jc w:val="center"/>
        <w:rPr>
          <w:sz w:val="24"/>
          <w:szCs w:val="24"/>
        </w:rPr>
      </w:pPr>
    </w:p>
    <w:p w:rsidR="00DE1D86" w:rsidRDefault="00DE1D86" w:rsidP="00842D75">
      <w:pPr>
        <w:jc w:val="center"/>
        <w:rPr>
          <w:sz w:val="24"/>
          <w:szCs w:val="24"/>
        </w:rPr>
      </w:pPr>
    </w:p>
    <w:p w:rsidR="00DE1D86" w:rsidRPr="00DE1D86" w:rsidRDefault="00DE1D86" w:rsidP="00DE1D86">
      <w:pPr>
        <w:rPr>
          <w:rFonts w:ascii="Times New Roman" w:hAnsi="Times New Roman" w:cs="Times New Roman"/>
          <w:b/>
        </w:rPr>
      </w:pPr>
      <w:r w:rsidRPr="00DE1D86">
        <w:rPr>
          <w:rFonts w:ascii="Times New Roman" w:hAnsi="Times New Roman" w:cs="Times New Roman"/>
          <w:b/>
        </w:rPr>
        <w:t>Disclaimer</w:t>
      </w:r>
    </w:p>
    <w:p w:rsidR="00DE1D86" w:rsidRPr="00DE1D86" w:rsidRDefault="00DE1D86" w:rsidP="00DE1D86">
      <w:pPr>
        <w:rPr>
          <w:rFonts w:ascii="Times New Roman" w:hAnsi="Times New Roman" w:cs="Times New Roman"/>
        </w:rPr>
      </w:pPr>
      <w:r w:rsidRPr="00DE1D86">
        <w:rPr>
          <w:rFonts w:ascii="Times New Roman" w:hAnsi="Times New Roman" w:cs="Times New Roman"/>
        </w:rPr>
        <w:t>This document reflects the views of subject matter experts participating in the IPRP Information Sharing Working Group for Generics (IWGG) and should not be construed to represent the official views of any given regulatory authority participating in the IPR</w:t>
      </w:r>
      <w:bookmarkStart w:id="0" w:name="_GoBack"/>
      <w:bookmarkEnd w:id="0"/>
      <w:r w:rsidRPr="00DE1D86">
        <w:rPr>
          <w:rFonts w:ascii="Times New Roman" w:hAnsi="Times New Roman" w:cs="Times New Roman"/>
        </w:rPr>
        <w:t>P.</w:t>
      </w:r>
    </w:p>
    <w:sectPr w:rsidR="00DE1D86" w:rsidRPr="00DE1D86" w:rsidSect="00B30405">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3BC" w:rsidRDefault="001C53BC" w:rsidP="00AE6112">
      <w:pPr>
        <w:spacing w:after="0" w:line="240" w:lineRule="auto"/>
      </w:pPr>
      <w:r>
        <w:separator/>
      </w:r>
    </w:p>
  </w:endnote>
  <w:endnote w:type="continuationSeparator" w:id="0">
    <w:p w:rsidR="001C53BC" w:rsidRDefault="001C53BC" w:rsidP="00AE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740230"/>
      <w:docPartObj>
        <w:docPartGallery w:val="Page Numbers (Bottom of Page)"/>
        <w:docPartUnique/>
      </w:docPartObj>
    </w:sdtPr>
    <w:sdtEndPr>
      <w:rPr>
        <w:noProof/>
      </w:rPr>
    </w:sdtEndPr>
    <w:sdtContent>
      <w:p w:rsidR="00F47CEF" w:rsidRDefault="00F47CEF">
        <w:pPr>
          <w:pStyle w:val="Footer"/>
          <w:jc w:val="center"/>
        </w:pPr>
        <w:r>
          <w:fldChar w:fldCharType="begin"/>
        </w:r>
        <w:r>
          <w:instrText xml:space="preserve"> PAGE   \* MERGEFORMAT </w:instrText>
        </w:r>
        <w:r>
          <w:fldChar w:fldCharType="separate"/>
        </w:r>
        <w:r w:rsidR="00DE1D86">
          <w:rPr>
            <w:noProof/>
          </w:rPr>
          <w:t>2</w:t>
        </w:r>
        <w:r>
          <w:rPr>
            <w:noProof/>
          </w:rPr>
          <w:fldChar w:fldCharType="end"/>
        </w:r>
      </w:p>
    </w:sdtContent>
  </w:sdt>
  <w:p w:rsidR="00F47CEF" w:rsidRDefault="00F47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3BC" w:rsidRDefault="001C53BC" w:rsidP="00AE6112">
      <w:pPr>
        <w:spacing w:after="0" w:line="240" w:lineRule="auto"/>
      </w:pPr>
      <w:r>
        <w:separator/>
      </w:r>
    </w:p>
  </w:footnote>
  <w:footnote w:type="continuationSeparator" w:id="0">
    <w:p w:rsidR="001C53BC" w:rsidRDefault="001C53BC" w:rsidP="00AE6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05" w:rsidRDefault="00B30405">
    <w:pPr>
      <w:pStyle w:val="Header"/>
    </w:pPr>
    <w:r>
      <w:rPr>
        <w:noProof/>
        <w:sz w:val="24"/>
        <w:lang w:val="en-GB" w:eastAsia="en-GB"/>
      </w:rPr>
      <w:drawing>
        <wp:anchor distT="0" distB="0" distL="114300" distR="114300" simplePos="0" relativeHeight="251658752" behindDoc="0" locked="0" layoutInCell="1" allowOverlap="1" wp14:anchorId="0415F932" wp14:editId="5A059375">
          <wp:simplePos x="0" y="0"/>
          <wp:positionH relativeFrom="column">
            <wp:posOffset>-466725</wp:posOffset>
          </wp:positionH>
          <wp:positionV relativeFrom="paragraph">
            <wp:posOffset>-67310</wp:posOffset>
          </wp:positionV>
          <wp:extent cx="3602736"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PR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736" cy="9448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5DA"/>
    <w:multiLevelType w:val="hybridMultilevel"/>
    <w:tmpl w:val="54BAF2B2"/>
    <w:lvl w:ilvl="0" w:tplc="D616A7DC">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 w15:restartNumberingAfterBreak="0">
    <w:nsid w:val="04CC37A2"/>
    <w:multiLevelType w:val="hybridMultilevel"/>
    <w:tmpl w:val="DF069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E639D4"/>
    <w:multiLevelType w:val="hybridMultilevel"/>
    <w:tmpl w:val="5B506D88"/>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3" w15:restartNumberingAfterBreak="0">
    <w:nsid w:val="146F0E10"/>
    <w:multiLevelType w:val="hybridMultilevel"/>
    <w:tmpl w:val="74F0A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2E197B"/>
    <w:multiLevelType w:val="hybridMultilevel"/>
    <w:tmpl w:val="BCFC9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404E47"/>
    <w:multiLevelType w:val="hybridMultilevel"/>
    <w:tmpl w:val="84367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472468"/>
    <w:multiLevelType w:val="hybridMultilevel"/>
    <w:tmpl w:val="C554E05E"/>
    <w:lvl w:ilvl="0" w:tplc="288C0A36">
      <w:start w:val="1"/>
      <w:numFmt w:val="bullet"/>
      <w:lvlText w:val="•"/>
      <w:lvlJc w:val="left"/>
      <w:pPr>
        <w:tabs>
          <w:tab w:val="num" w:pos="720"/>
        </w:tabs>
        <w:ind w:left="720" w:hanging="360"/>
      </w:pPr>
      <w:rPr>
        <w:rFonts w:ascii="Times New Roman" w:hAnsi="Times New Roman" w:hint="default"/>
      </w:rPr>
    </w:lvl>
    <w:lvl w:ilvl="1" w:tplc="089E147E">
      <w:start w:val="1613"/>
      <w:numFmt w:val="bullet"/>
      <w:lvlText w:val="•"/>
      <w:lvlJc w:val="left"/>
      <w:pPr>
        <w:tabs>
          <w:tab w:val="num" w:pos="1440"/>
        </w:tabs>
        <w:ind w:left="1440" w:hanging="360"/>
      </w:pPr>
      <w:rPr>
        <w:rFonts w:ascii="Times New Roman" w:hAnsi="Times New Roman" w:hint="default"/>
      </w:rPr>
    </w:lvl>
    <w:lvl w:ilvl="2" w:tplc="6374B326" w:tentative="1">
      <w:start w:val="1"/>
      <w:numFmt w:val="bullet"/>
      <w:lvlText w:val="•"/>
      <w:lvlJc w:val="left"/>
      <w:pPr>
        <w:tabs>
          <w:tab w:val="num" w:pos="2160"/>
        </w:tabs>
        <w:ind w:left="2160" w:hanging="360"/>
      </w:pPr>
      <w:rPr>
        <w:rFonts w:ascii="Times New Roman" w:hAnsi="Times New Roman" w:hint="default"/>
      </w:rPr>
    </w:lvl>
    <w:lvl w:ilvl="3" w:tplc="4C164B86" w:tentative="1">
      <w:start w:val="1"/>
      <w:numFmt w:val="bullet"/>
      <w:lvlText w:val="•"/>
      <w:lvlJc w:val="left"/>
      <w:pPr>
        <w:tabs>
          <w:tab w:val="num" w:pos="2880"/>
        </w:tabs>
        <w:ind w:left="2880" w:hanging="360"/>
      </w:pPr>
      <w:rPr>
        <w:rFonts w:ascii="Times New Roman" w:hAnsi="Times New Roman" w:hint="default"/>
      </w:rPr>
    </w:lvl>
    <w:lvl w:ilvl="4" w:tplc="D8002FC8" w:tentative="1">
      <w:start w:val="1"/>
      <w:numFmt w:val="bullet"/>
      <w:lvlText w:val="•"/>
      <w:lvlJc w:val="left"/>
      <w:pPr>
        <w:tabs>
          <w:tab w:val="num" w:pos="3600"/>
        </w:tabs>
        <w:ind w:left="3600" w:hanging="360"/>
      </w:pPr>
      <w:rPr>
        <w:rFonts w:ascii="Times New Roman" w:hAnsi="Times New Roman" w:hint="default"/>
      </w:rPr>
    </w:lvl>
    <w:lvl w:ilvl="5" w:tplc="9A66C374" w:tentative="1">
      <w:start w:val="1"/>
      <w:numFmt w:val="bullet"/>
      <w:lvlText w:val="•"/>
      <w:lvlJc w:val="left"/>
      <w:pPr>
        <w:tabs>
          <w:tab w:val="num" w:pos="4320"/>
        </w:tabs>
        <w:ind w:left="4320" w:hanging="360"/>
      </w:pPr>
      <w:rPr>
        <w:rFonts w:ascii="Times New Roman" w:hAnsi="Times New Roman" w:hint="default"/>
      </w:rPr>
    </w:lvl>
    <w:lvl w:ilvl="6" w:tplc="D83CF7F0" w:tentative="1">
      <w:start w:val="1"/>
      <w:numFmt w:val="bullet"/>
      <w:lvlText w:val="•"/>
      <w:lvlJc w:val="left"/>
      <w:pPr>
        <w:tabs>
          <w:tab w:val="num" w:pos="5040"/>
        </w:tabs>
        <w:ind w:left="5040" w:hanging="360"/>
      </w:pPr>
      <w:rPr>
        <w:rFonts w:ascii="Times New Roman" w:hAnsi="Times New Roman" w:hint="default"/>
      </w:rPr>
    </w:lvl>
    <w:lvl w:ilvl="7" w:tplc="6EA2A13A" w:tentative="1">
      <w:start w:val="1"/>
      <w:numFmt w:val="bullet"/>
      <w:lvlText w:val="•"/>
      <w:lvlJc w:val="left"/>
      <w:pPr>
        <w:tabs>
          <w:tab w:val="num" w:pos="5760"/>
        </w:tabs>
        <w:ind w:left="5760" w:hanging="360"/>
      </w:pPr>
      <w:rPr>
        <w:rFonts w:ascii="Times New Roman" w:hAnsi="Times New Roman" w:hint="default"/>
      </w:rPr>
    </w:lvl>
    <w:lvl w:ilvl="8" w:tplc="DF6CDCF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5C402C9"/>
    <w:multiLevelType w:val="hybridMultilevel"/>
    <w:tmpl w:val="0ABAC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5D590D"/>
    <w:multiLevelType w:val="hybridMultilevel"/>
    <w:tmpl w:val="226A9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184E3A"/>
    <w:multiLevelType w:val="hybridMultilevel"/>
    <w:tmpl w:val="82AA3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C4171B"/>
    <w:multiLevelType w:val="hybridMultilevel"/>
    <w:tmpl w:val="5CD23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2"/>
  </w:num>
  <w:num w:numId="6">
    <w:abstractNumId w:val="4"/>
  </w:num>
  <w:num w:numId="7">
    <w:abstractNumId w:val="3"/>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C4"/>
    <w:rsid w:val="00024465"/>
    <w:rsid w:val="00025739"/>
    <w:rsid w:val="000312E3"/>
    <w:rsid w:val="00034CD0"/>
    <w:rsid w:val="000366BF"/>
    <w:rsid w:val="0004276D"/>
    <w:rsid w:val="00053ADC"/>
    <w:rsid w:val="00072870"/>
    <w:rsid w:val="00073DFF"/>
    <w:rsid w:val="000B7215"/>
    <w:rsid w:val="000F09FD"/>
    <w:rsid w:val="001244CE"/>
    <w:rsid w:val="001672D3"/>
    <w:rsid w:val="001755D0"/>
    <w:rsid w:val="001959CB"/>
    <w:rsid w:val="001A6040"/>
    <w:rsid w:val="001A7288"/>
    <w:rsid w:val="001B0F3C"/>
    <w:rsid w:val="001B67C1"/>
    <w:rsid w:val="001C53BC"/>
    <w:rsid w:val="001D019C"/>
    <w:rsid w:val="001E41CD"/>
    <w:rsid w:val="002410ED"/>
    <w:rsid w:val="00245ED6"/>
    <w:rsid w:val="0025139B"/>
    <w:rsid w:val="0029347D"/>
    <w:rsid w:val="00294406"/>
    <w:rsid w:val="00295760"/>
    <w:rsid w:val="002E0866"/>
    <w:rsid w:val="002F0412"/>
    <w:rsid w:val="002F1A11"/>
    <w:rsid w:val="00305477"/>
    <w:rsid w:val="00312201"/>
    <w:rsid w:val="003316A0"/>
    <w:rsid w:val="00343E68"/>
    <w:rsid w:val="00345433"/>
    <w:rsid w:val="003557BC"/>
    <w:rsid w:val="00356557"/>
    <w:rsid w:val="00390BB0"/>
    <w:rsid w:val="003A1798"/>
    <w:rsid w:val="003A25E5"/>
    <w:rsid w:val="00403AA3"/>
    <w:rsid w:val="004076C9"/>
    <w:rsid w:val="00447DB4"/>
    <w:rsid w:val="00472956"/>
    <w:rsid w:val="00472AF7"/>
    <w:rsid w:val="00492FEF"/>
    <w:rsid w:val="004C1E5E"/>
    <w:rsid w:val="004C60A7"/>
    <w:rsid w:val="004D2659"/>
    <w:rsid w:val="00521B53"/>
    <w:rsid w:val="00547987"/>
    <w:rsid w:val="0056318A"/>
    <w:rsid w:val="005A5297"/>
    <w:rsid w:val="005A79B7"/>
    <w:rsid w:val="005B728E"/>
    <w:rsid w:val="005C1076"/>
    <w:rsid w:val="0060295A"/>
    <w:rsid w:val="00603810"/>
    <w:rsid w:val="00605EBD"/>
    <w:rsid w:val="00642C9B"/>
    <w:rsid w:val="00656EFE"/>
    <w:rsid w:val="00671109"/>
    <w:rsid w:val="006B0C0F"/>
    <w:rsid w:val="006B2791"/>
    <w:rsid w:val="006B6EC1"/>
    <w:rsid w:val="006D2CAA"/>
    <w:rsid w:val="006E3003"/>
    <w:rsid w:val="006F5BB1"/>
    <w:rsid w:val="00700444"/>
    <w:rsid w:val="007249C9"/>
    <w:rsid w:val="00744C80"/>
    <w:rsid w:val="00775B40"/>
    <w:rsid w:val="007769F4"/>
    <w:rsid w:val="00777691"/>
    <w:rsid w:val="007809ED"/>
    <w:rsid w:val="007B638F"/>
    <w:rsid w:val="007C4500"/>
    <w:rsid w:val="007C6003"/>
    <w:rsid w:val="007D07F2"/>
    <w:rsid w:val="007D0C11"/>
    <w:rsid w:val="007E20AF"/>
    <w:rsid w:val="00802DFA"/>
    <w:rsid w:val="00821B05"/>
    <w:rsid w:val="00842D75"/>
    <w:rsid w:val="008572F4"/>
    <w:rsid w:val="0088426D"/>
    <w:rsid w:val="00890189"/>
    <w:rsid w:val="008C27E1"/>
    <w:rsid w:val="0096353F"/>
    <w:rsid w:val="00974982"/>
    <w:rsid w:val="00977A37"/>
    <w:rsid w:val="009A27B4"/>
    <w:rsid w:val="009A56C2"/>
    <w:rsid w:val="009A5C3E"/>
    <w:rsid w:val="009B78C0"/>
    <w:rsid w:val="009B7D36"/>
    <w:rsid w:val="009F13A6"/>
    <w:rsid w:val="00A01C88"/>
    <w:rsid w:val="00A27FEC"/>
    <w:rsid w:val="00A3379C"/>
    <w:rsid w:val="00A464EF"/>
    <w:rsid w:val="00A71BE2"/>
    <w:rsid w:val="00A9339A"/>
    <w:rsid w:val="00A94638"/>
    <w:rsid w:val="00A97927"/>
    <w:rsid w:val="00AA1CFF"/>
    <w:rsid w:val="00AC17BD"/>
    <w:rsid w:val="00AE48C1"/>
    <w:rsid w:val="00AE6112"/>
    <w:rsid w:val="00AF3E28"/>
    <w:rsid w:val="00B03456"/>
    <w:rsid w:val="00B13341"/>
    <w:rsid w:val="00B30405"/>
    <w:rsid w:val="00B34351"/>
    <w:rsid w:val="00B34C71"/>
    <w:rsid w:val="00B378B4"/>
    <w:rsid w:val="00B555AF"/>
    <w:rsid w:val="00B56A22"/>
    <w:rsid w:val="00B57105"/>
    <w:rsid w:val="00B914D4"/>
    <w:rsid w:val="00BA77F9"/>
    <w:rsid w:val="00BB618A"/>
    <w:rsid w:val="00BC1F5B"/>
    <w:rsid w:val="00BE1778"/>
    <w:rsid w:val="00BE18F2"/>
    <w:rsid w:val="00BE5EC9"/>
    <w:rsid w:val="00BF68A6"/>
    <w:rsid w:val="00C16832"/>
    <w:rsid w:val="00C62581"/>
    <w:rsid w:val="00C67B8B"/>
    <w:rsid w:val="00C914C4"/>
    <w:rsid w:val="00C97314"/>
    <w:rsid w:val="00CC0618"/>
    <w:rsid w:val="00CD73EB"/>
    <w:rsid w:val="00CE619E"/>
    <w:rsid w:val="00D2321E"/>
    <w:rsid w:val="00D271EC"/>
    <w:rsid w:val="00D41953"/>
    <w:rsid w:val="00D44664"/>
    <w:rsid w:val="00D514C3"/>
    <w:rsid w:val="00D52FF0"/>
    <w:rsid w:val="00D62900"/>
    <w:rsid w:val="00D84F7F"/>
    <w:rsid w:val="00D931A0"/>
    <w:rsid w:val="00DA2674"/>
    <w:rsid w:val="00DC0327"/>
    <w:rsid w:val="00DD74FA"/>
    <w:rsid w:val="00DE1D86"/>
    <w:rsid w:val="00E10E69"/>
    <w:rsid w:val="00E43830"/>
    <w:rsid w:val="00E8636B"/>
    <w:rsid w:val="00EE2A86"/>
    <w:rsid w:val="00EF0300"/>
    <w:rsid w:val="00F03EF0"/>
    <w:rsid w:val="00F04904"/>
    <w:rsid w:val="00F21A36"/>
    <w:rsid w:val="00F24C8A"/>
    <w:rsid w:val="00F2717A"/>
    <w:rsid w:val="00F272D9"/>
    <w:rsid w:val="00F32E2B"/>
    <w:rsid w:val="00F47CEF"/>
    <w:rsid w:val="00F62999"/>
    <w:rsid w:val="00F80A99"/>
    <w:rsid w:val="00F8186E"/>
    <w:rsid w:val="00F93D5F"/>
    <w:rsid w:val="00F96DFA"/>
    <w:rsid w:val="00FC709E"/>
    <w:rsid w:val="00FE5A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CC083DE-9008-4CFB-9F21-D71425D7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4C4"/>
    <w:pPr>
      <w:ind w:left="720"/>
      <w:contextualSpacing/>
    </w:pPr>
  </w:style>
  <w:style w:type="character" w:styleId="Hyperlink">
    <w:name w:val="Hyperlink"/>
    <w:basedOn w:val="DefaultParagraphFont"/>
    <w:uiPriority w:val="99"/>
    <w:unhideWhenUsed/>
    <w:rsid w:val="009A27B4"/>
    <w:rPr>
      <w:color w:val="0000FF" w:themeColor="hyperlink"/>
      <w:u w:val="single"/>
    </w:rPr>
  </w:style>
  <w:style w:type="paragraph" w:styleId="BalloonText">
    <w:name w:val="Balloon Text"/>
    <w:basedOn w:val="Normal"/>
    <w:link w:val="BalloonTextChar"/>
    <w:uiPriority w:val="99"/>
    <w:semiHidden/>
    <w:unhideWhenUsed/>
    <w:rsid w:val="0029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7D"/>
    <w:rPr>
      <w:rFonts w:ascii="Tahoma" w:hAnsi="Tahoma" w:cs="Tahoma"/>
      <w:sz w:val="16"/>
      <w:szCs w:val="16"/>
    </w:rPr>
  </w:style>
  <w:style w:type="paragraph" w:styleId="Header">
    <w:name w:val="header"/>
    <w:basedOn w:val="Normal"/>
    <w:link w:val="HeaderChar"/>
    <w:uiPriority w:val="99"/>
    <w:unhideWhenUsed/>
    <w:rsid w:val="00AE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12"/>
  </w:style>
  <w:style w:type="paragraph" w:styleId="Footer">
    <w:name w:val="footer"/>
    <w:basedOn w:val="Normal"/>
    <w:link w:val="FooterChar"/>
    <w:uiPriority w:val="99"/>
    <w:unhideWhenUsed/>
    <w:rsid w:val="00AE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12"/>
  </w:style>
  <w:style w:type="table" w:styleId="TableGrid">
    <w:name w:val="Table Grid"/>
    <w:basedOn w:val="TableNormal"/>
    <w:uiPriority w:val="59"/>
    <w:rsid w:val="004C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F04904"/>
  </w:style>
  <w:style w:type="paragraph" w:styleId="Revision">
    <w:name w:val="Revision"/>
    <w:hidden/>
    <w:uiPriority w:val="99"/>
    <w:semiHidden/>
    <w:rsid w:val="00312201"/>
    <w:pPr>
      <w:spacing w:after="0" w:line="240" w:lineRule="auto"/>
    </w:pPr>
  </w:style>
  <w:style w:type="character" w:styleId="CommentReference">
    <w:name w:val="annotation reference"/>
    <w:basedOn w:val="DefaultParagraphFont"/>
    <w:uiPriority w:val="99"/>
    <w:semiHidden/>
    <w:unhideWhenUsed/>
    <w:rsid w:val="00312201"/>
    <w:rPr>
      <w:sz w:val="16"/>
      <w:szCs w:val="16"/>
    </w:rPr>
  </w:style>
  <w:style w:type="paragraph" w:styleId="CommentText">
    <w:name w:val="annotation text"/>
    <w:basedOn w:val="Normal"/>
    <w:link w:val="CommentTextChar"/>
    <w:uiPriority w:val="99"/>
    <w:semiHidden/>
    <w:unhideWhenUsed/>
    <w:rsid w:val="00312201"/>
    <w:pPr>
      <w:spacing w:line="240" w:lineRule="auto"/>
    </w:pPr>
    <w:rPr>
      <w:sz w:val="20"/>
      <w:szCs w:val="20"/>
    </w:rPr>
  </w:style>
  <w:style w:type="character" w:customStyle="1" w:styleId="CommentTextChar">
    <w:name w:val="Comment Text Char"/>
    <w:basedOn w:val="DefaultParagraphFont"/>
    <w:link w:val="CommentText"/>
    <w:uiPriority w:val="99"/>
    <w:semiHidden/>
    <w:rsid w:val="00312201"/>
    <w:rPr>
      <w:sz w:val="20"/>
      <w:szCs w:val="20"/>
    </w:rPr>
  </w:style>
  <w:style w:type="paragraph" w:styleId="CommentSubject">
    <w:name w:val="annotation subject"/>
    <w:basedOn w:val="CommentText"/>
    <w:next w:val="CommentText"/>
    <w:link w:val="CommentSubjectChar"/>
    <w:uiPriority w:val="99"/>
    <w:semiHidden/>
    <w:unhideWhenUsed/>
    <w:rsid w:val="00312201"/>
    <w:rPr>
      <w:b/>
      <w:bCs/>
    </w:rPr>
  </w:style>
  <w:style w:type="character" w:customStyle="1" w:styleId="CommentSubjectChar">
    <w:name w:val="Comment Subject Char"/>
    <w:basedOn w:val="CommentTextChar"/>
    <w:link w:val="CommentSubject"/>
    <w:uiPriority w:val="99"/>
    <w:semiHidden/>
    <w:rsid w:val="00312201"/>
    <w:rPr>
      <w:b/>
      <w:bCs/>
      <w:sz w:val="20"/>
      <w:szCs w:val="20"/>
    </w:rPr>
  </w:style>
  <w:style w:type="paragraph" w:styleId="FootnoteText">
    <w:name w:val="footnote text"/>
    <w:basedOn w:val="Normal"/>
    <w:link w:val="FootnoteTextChar"/>
    <w:uiPriority w:val="99"/>
    <w:semiHidden/>
    <w:unhideWhenUsed/>
    <w:rsid w:val="001755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D0"/>
    <w:rPr>
      <w:sz w:val="20"/>
      <w:szCs w:val="20"/>
    </w:rPr>
  </w:style>
  <w:style w:type="character" w:styleId="FootnoteReference">
    <w:name w:val="footnote reference"/>
    <w:basedOn w:val="DefaultParagraphFont"/>
    <w:uiPriority w:val="99"/>
    <w:semiHidden/>
    <w:unhideWhenUsed/>
    <w:rsid w:val="001755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14934">
      <w:bodyDiv w:val="1"/>
      <w:marLeft w:val="0"/>
      <w:marRight w:val="0"/>
      <w:marTop w:val="0"/>
      <w:marBottom w:val="0"/>
      <w:divBdr>
        <w:top w:val="none" w:sz="0" w:space="0" w:color="auto"/>
        <w:left w:val="none" w:sz="0" w:space="0" w:color="auto"/>
        <w:bottom w:val="none" w:sz="0" w:space="0" w:color="auto"/>
        <w:right w:val="none" w:sz="0" w:space="0" w:color="auto"/>
      </w:divBdr>
      <w:divsChild>
        <w:div w:id="1492989624">
          <w:marLeft w:val="547"/>
          <w:marRight w:val="0"/>
          <w:marTop w:val="0"/>
          <w:marBottom w:val="0"/>
          <w:divBdr>
            <w:top w:val="none" w:sz="0" w:space="0" w:color="auto"/>
            <w:left w:val="none" w:sz="0" w:space="0" w:color="auto"/>
            <w:bottom w:val="none" w:sz="0" w:space="0" w:color="auto"/>
            <w:right w:val="none" w:sz="0" w:space="0" w:color="auto"/>
          </w:divBdr>
        </w:div>
        <w:div w:id="458452673">
          <w:marLeft w:val="1166"/>
          <w:marRight w:val="0"/>
          <w:marTop w:val="0"/>
          <w:marBottom w:val="0"/>
          <w:divBdr>
            <w:top w:val="none" w:sz="0" w:space="0" w:color="auto"/>
            <w:left w:val="none" w:sz="0" w:space="0" w:color="auto"/>
            <w:bottom w:val="none" w:sz="0" w:space="0" w:color="auto"/>
            <w:right w:val="none" w:sz="0" w:space="0" w:color="auto"/>
          </w:divBdr>
        </w:div>
        <w:div w:id="75785050">
          <w:marLeft w:val="1166"/>
          <w:marRight w:val="0"/>
          <w:marTop w:val="0"/>
          <w:marBottom w:val="0"/>
          <w:divBdr>
            <w:top w:val="none" w:sz="0" w:space="0" w:color="auto"/>
            <w:left w:val="none" w:sz="0" w:space="0" w:color="auto"/>
            <w:bottom w:val="none" w:sz="0" w:space="0" w:color="auto"/>
            <w:right w:val="none" w:sz="0" w:space="0" w:color="auto"/>
          </w:divBdr>
        </w:div>
        <w:div w:id="274793851">
          <w:marLeft w:val="1166"/>
          <w:marRight w:val="0"/>
          <w:marTop w:val="0"/>
          <w:marBottom w:val="0"/>
          <w:divBdr>
            <w:top w:val="none" w:sz="0" w:space="0" w:color="auto"/>
            <w:left w:val="none" w:sz="0" w:space="0" w:color="auto"/>
            <w:bottom w:val="none" w:sz="0" w:space="0" w:color="auto"/>
            <w:right w:val="none" w:sz="0" w:space="0" w:color="auto"/>
          </w:divBdr>
        </w:div>
        <w:div w:id="155729127">
          <w:marLeft w:val="1166"/>
          <w:marRight w:val="0"/>
          <w:marTop w:val="0"/>
          <w:marBottom w:val="0"/>
          <w:divBdr>
            <w:top w:val="none" w:sz="0" w:space="0" w:color="auto"/>
            <w:left w:val="none" w:sz="0" w:space="0" w:color="auto"/>
            <w:bottom w:val="none" w:sz="0" w:space="0" w:color="auto"/>
            <w:right w:val="none" w:sz="0" w:space="0" w:color="auto"/>
          </w:divBdr>
        </w:div>
        <w:div w:id="532423504">
          <w:marLeft w:val="1166"/>
          <w:marRight w:val="0"/>
          <w:marTop w:val="0"/>
          <w:marBottom w:val="0"/>
          <w:divBdr>
            <w:top w:val="none" w:sz="0" w:space="0" w:color="auto"/>
            <w:left w:val="none" w:sz="0" w:space="0" w:color="auto"/>
            <w:bottom w:val="none" w:sz="0" w:space="0" w:color="auto"/>
            <w:right w:val="none" w:sz="0" w:space="0" w:color="auto"/>
          </w:divBdr>
        </w:div>
        <w:div w:id="287705236">
          <w:marLeft w:val="1166"/>
          <w:marRight w:val="0"/>
          <w:marTop w:val="0"/>
          <w:marBottom w:val="0"/>
          <w:divBdr>
            <w:top w:val="none" w:sz="0" w:space="0" w:color="auto"/>
            <w:left w:val="none" w:sz="0" w:space="0" w:color="auto"/>
            <w:bottom w:val="none" w:sz="0" w:space="0" w:color="auto"/>
            <w:right w:val="none" w:sz="0" w:space="0" w:color="auto"/>
          </w:divBdr>
        </w:div>
        <w:div w:id="2090615608">
          <w:marLeft w:val="1166"/>
          <w:marRight w:val="0"/>
          <w:marTop w:val="0"/>
          <w:marBottom w:val="0"/>
          <w:divBdr>
            <w:top w:val="none" w:sz="0" w:space="0" w:color="auto"/>
            <w:left w:val="none" w:sz="0" w:space="0" w:color="auto"/>
            <w:bottom w:val="none" w:sz="0" w:space="0" w:color="auto"/>
            <w:right w:val="none" w:sz="0" w:space="0" w:color="auto"/>
          </w:divBdr>
        </w:div>
        <w:div w:id="776750723">
          <w:marLeft w:val="1166"/>
          <w:marRight w:val="0"/>
          <w:marTop w:val="0"/>
          <w:marBottom w:val="0"/>
          <w:divBdr>
            <w:top w:val="none" w:sz="0" w:space="0" w:color="auto"/>
            <w:left w:val="none" w:sz="0" w:space="0" w:color="auto"/>
            <w:bottom w:val="none" w:sz="0" w:space="0" w:color="auto"/>
            <w:right w:val="none" w:sz="0" w:space="0" w:color="auto"/>
          </w:divBdr>
        </w:div>
        <w:div w:id="1081949103">
          <w:marLeft w:val="1166"/>
          <w:marRight w:val="0"/>
          <w:marTop w:val="0"/>
          <w:marBottom w:val="0"/>
          <w:divBdr>
            <w:top w:val="none" w:sz="0" w:space="0" w:color="auto"/>
            <w:left w:val="none" w:sz="0" w:space="0" w:color="auto"/>
            <w:bottom w:val="none" w:sz="0" w:space="0" w:color="auto"/>
            <w:right w:val="none" w:sz="0" w:space="0" w:color="auto"/>
          </w:divBdr>
        </w:div>
        <w:div w:id="126776691">
          <w:marLeft w:val="1166"/>
          <w:marRight w:val="0"/>
          <w:marTop w:val="0"/>
          <w:marBottom w:val="0"/>
          <w:divBdr>
            <w:top w:val="none" w:sz="0" w:space="0" w:color="auto"/>
            <w:left w:val="none" w:sz="0" w:space="0" w:color="auto"/>
            <w:bottom w:val="none" w:sz="0" w:space="0" w:color="auto"/>
            <w:right w:val="none" w:sz="0" w:space="0" w:color="auto"/>
          </w:divBdr>
        </w:div>
        <w:div w:id="914511840">
          <w:marLeft w:val="1166"/>
          <w:marRight w:val="0"/>
          <w:marTop w:val="0"/>
          <w:marBottom w:val="0"/>
          <w:divBdr>
            <w:top w:val="none" w:sz="0" w:space="0" w:color="auto"/>
            <w:left w:val="none" w:sz="0" w:space="0" w:color="auto"/>
            <w:bottom w:val="none" w:sz="0" w:space="0" w:color="auto"/>
            <w:right w:val="none" w:sz="0" w:space="0" w:color="auto"/>
          </w:divBdr>
        </w:div>
        <w:div w:id="1380781262">
          <w:marLeft w:val="1166"/>
          <w:marRight w:val="0"/>
          <w:marTop w:val="0"/>
          <w:marBottom w:val="0"/>
          <w:divBdr>
            <w:top w:val="none" w:sz="0" w:space="0" w:color="auto"/>
            <w:left w:val="none" w:sz="0" w:space="0" w:color="auto"/>
            <w:bottom w:val="none" w:sz="0" w:space="0" w:color="auto"/>
            <w:right w:val="none" w:sz="0" w:space="0" w:color="auto"/>
          </w:divBdr>
        </w:div>
        <w:div w:id="1777747236">
          <w:marLeft w:val="1166"/>
          <w:marRight w:val="0"/>
          <w:marTop w:val="0"/>
          <w:marBottom w:val="0"/>
          <w:divBdr>
            <w:top w:val="none" w:sz="0" w:space="0" w:color="auto"/>
            <w:left w:val="none" w:sz="0" w:space="0" w:color="auto"/>
            <w:bottom w:val="none" w:sz="0" w:space="0" w:color="auto"/>
            <w:right w:val="none" w:sz="0" w:space="0" w:color="auto"/>
          </w:divBdr>
        </w:div>
        <w:div w:id="677924903">
          <w:marLeft w:val="1166"/>
          <w:marRight w:val="0"/>
          <w:marTop w:val="0"/>
          <w:marBottom w:val="0"/>
          <w:divBdr>
            <w:top w:val="none" w:sz="0" w:space="0" w:color="auto"/>
            <w:left w:val="none" w:sz="0" w:space="0" w:color="auto"/>
            <w:bottom w:val="none" w:sz="0" w:space="0" w:color="auto"/>
            <w:right w:val="none" w:sz="0" w:space="0" w:color="auto"/>
          </w:divBdr>
        </w:div>
        <w:div w:id="184448186">
          <w:marLeft w:val="1166"/>
          <w:marRight w:val="0"/>
          <w:marTop w:val="0"/>
          <w:marBottom w:val="0"/>
          <w:divBdr>
            <w:top w:val="none" w:sz="0" w:space="0" w:color="auto"/>
            <w:left w:val="none" w:sz="0" w:space="0" w:color="auto"/>
            <w:bottom w:val="none" w:sz="0" w:space="0" w:color="auto"/>
            <w:right w:val="none" w:sz="0" w:space="0" w:color="auto"/>
          </w:divBdr>
        </w:div>
        <w:div w:id="4672821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5120-5C67-4C72-A61D-94A68415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1299</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 Canada - Santé Canada</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hcuser</dc:creator>
  <cp:lastModifiedBy>Coralie Angulo</cp:lastModifiedBy>
  <cp:revision>4</cp:revision>
  <dcterms:created xsi:type="dcterms:W3CDTF">2015-01-09T16:16:00Z</dcterms:created>
  <dcterms:modified xsi:type="dcterms:W3CDTF">2018-09-14T13:41:00Z</dcterms:modified>
</cp:coreProperties>
</file>